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7AC3" w:rsidRDefault="0052264B">
      <w:bookmarkStart w:id="0" w:name="_GoBack"/>
      <w:r>
        <w:rPr>
          <w:b/>
        </w:rPr>
        <w:t>Standards Addressed</w:t>
      </w:r>
    </w:p>
    <w:p w:rsidR="00C47AC3" w:rsidRDefault="00C47AC3"/>
    <w:p w:rsidR="00C47AC3" w:rsidRDefault="0052264B">
      <w:r>
        <w:t>15. The political process creates a dynamic interaction among the three branches of government in addressing current issues.</w:t>
      </w:r>
    </w:p>
    <w:p w:rsidR="00C47AC3" w:rsidRDefault="0052264B">
      <w:r>
        <w:t>21. A variety of entities within the three branches of government, at all levels, address public policy issues which arise in domestic and international affairs.</w:t>
      </w:r>
    </w:p>
    <w:p w:rsidR="00C47AC3" w:rsidRDefault="0052264B">
      <w:r>
        <w:t xml:space="preserve">22. Individuals and organizations play a role within federal, </w:t>
      </w:r>
      <w:proofErr w:type="gramStart"/>
      <w:r>
        <w:t>state</w:t>
      </w:r>
      <w:proofErr w:type="gramEnd"/>
      <w:r>
        <w:t xml:space="preserve"> and local governments in h</w:t>
      </w:r>
      <w:r>
        <w:t>elping to determine public (domestic and foreign) policy.</w:t>
      </w:r>
    </w:p>
    <w:p w:rsidR="00C47AC3" w:rsidRDefault="00C47AC3"/>
    <w:p w:rsidR="00C47AC3" w:rsidRDefault="0052264B">
      <w:r>
        <w:rPr>
          <w:b/>
        </w:rPr>
        <w:t xml:space="preserve">Welcome to our 2015 Mock Election! </w:t>
      </w:r>
    </w:p>
    <w:p w:rsidR="00C47AC3" w:rsidRDefault="0052264B">
      <w:r>
        <w:t>For the next two weeks, you will be working together on a campaign to elect your chosen candidate as the Governor of Government Class</w:t>
      </w:r>
      <w:proofErr w:type="gramStart"/>
      <w:r>
        <w:t xml:space="preserve">! </w:t>
      </w:r>
      <w:proofErr w:type="gramEnd"/>
      <w:r>
        <w:t>Each day we will have an o</w:t>
      </w:r>
      <w:r>
        <w:t xml:space="preserve">verall objective for you to meet, and our project will culminate on Election Day, when you will vote for the candidate you believe will make the best Governor! </w:t>
      </w:r>
    </w:p>
    <w:p w:rsidR="00C47AC3" w:rsidRDefault="00C47AC3"/>
    <w:p w:rsidR="00C47AC3" w:rsidRDefault="0052264B">
      <w:r>
        <w:rPr>
          <w:b/>
        </w:rPr>
        <w:t>Grading</w:t>
      </w:r>
    </w:p>
    <w:p w:rsidR="00C47AC3" w:rsidRDefault="0052264B">
      <w:r>
        <w:t>You will be given daily grades based on how you are working with your group, and achie</w:t>
      </w:r>
      <w:r>
        <w:t>ving the daily objective</w:t>
      </w:r>
      <w:proofErr w:type="gramStart"/>
      <w:r>
        <w:t xml:space="preserve">. </w:t>
      </w:r>
      <w:proofErr w:type="gramEnd"/>
      <w:r>
        <w:t xml:space="preserve">You will also be graded separately on the larger portions of the project as we go along. </w:t>
      </w:r>
    </w:p>
    <w:p w:rsidR="00C47AC3" w:rsidRDefault="00C47AC3"/>
    <w:p w:rsidR="00C47AC3" w:rsidRDefault="0052264B">
      <w:r>
        <w:rPr>
          <w:b/>
        </w:rPr>
        <w:t xml:space="preserve">Roles for each student 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Candidate (1) 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Should be a student who is comfortable being filmed and speaking in front of an audience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Develops pl</w:t>
      </w:r>
      <w:r>
        <w:t>atform and practices for public appearances (recorded appearances)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 xml:space="preserve">Delivers speeches, kisses babies, </w:t>
      </w:r>
      <w:proofErr w:type="gramStart"/>
      <w:r>
        <w:t>shakes</w:t>
      </w:r>
      <w:proofErr w:type="gramEnd"/>
      <w:r>
        <w:t xml:space="preserve"> hands! 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Campaign manager (1)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Student who is organized and has regular attendance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Oversees general flow of campaign; keeps staffers on task, makes su</w:t>
      </w:r>
      <w:r>
        <w:t>re that deadlines are met, makes sure all staffers have the tools to do their jobs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The CM will be the main contact point for teachers, and will be responsible for reporting to teacher how the other campaign members are performing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Chief Strategist (1)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Stude</w:t>
      </w:r>
      <w:r>
        <w:t>nt who is organized and has regular attendance; will work closely with the CM to direct the overall campaign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lastRenderedPageBreak/>
        <w:t>Works with pollsters, campaign manager and speech writer to develop the best campaign approach; directs the overall purpose of the campaign (less a</w:t>
      </w:r>
      <w:r>
        <w:t>dministrative than the manager); acts as the main advisor to the campaign manager and the candidate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The CS will also report to teachers about campaign staff performance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Speech writers (2-3)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Write and edit candidate speech and comments for campaign movie; help candidate prepare for debate, write opening and closing debate statements; compose victory and concession speech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Pollster (2)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Should be students who are able to gather and analyze data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D</w:t>
      </w:r>
      <w:r>
        <w:t>evelop poll that measures how the candidate is doing in the race, after campaign videos have been released; compile data from their poll; advise candidate and campaign manager on how the candidate can improve ratings</w:t>
      </w:r>
    </w:p>
    <w:p w:rsidR="00C47AC3" w:rsidRDefault="0052264B">
      <w:pPr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Media Specialist (2-3)</w:t>
      </w:r>
    </w:p>
    <w:p w:rsidR="00C47AC3" w:rsidRDefault="0052264B">
      <w:pPr>
        <w:numPr>
          <w:ilvl w:val="1"/>
          <w:numId w:val="1"/>
        </w:numPr>
        <w:ind w:hanging="360"/>
        <w:contextualSpacing/>
      </w:pPr>
      <w:r>
        <w:t>Handles the craf</w:t>
      </w:r>
      <w:r>
        <w:t>ting of the campaign video; directs, edits, and finalizes campaign video, posters, and all interaction with the media/public</w:t>
      </w:r>
    </w:p>
    <w:p w:rsidR="00C47AC3" w:rsidRDefault="00C47AC3">
      <w:pPr>
        <w:ind w:left="720"/>
      </w:pPr>
    </w:p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1800"/>
        <w:gridCol w:w="1845"/>
        <w:gridCol w:w="2010"/>
        <w:gridCol w:w="2085"/>
        <w:gridCol w:w="2025"/>
        <w:gridCol w:w="1860"/>
      </w:tblGrid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C47AC3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Candidate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Manager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Strategist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Media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Speech Writer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Pollster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Day One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Identify and platform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Two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Solidify platform</w:t>
            </w:r>
            <w:r>
              <w:rPr>
                <w:sz w:val="20"/>
                <w:szCs w:val="20"/>
              </w:rPr>
              <w:t>; study platform in prep for debate; work with strategist and media to decide image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Assign tasks; check in with each dept. to make sure they are on task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Decide campaign approach; work with candidate and media to decide image; campaign slogan!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Campaign posters</w:t>
            </w:r>
            <w:r>
              <w:rPr>
                <w:sz w:val="20"/>
                <w:szCs w:val="20"/>
              </w:rPr>
              <w:t>; work with speech writers to begin script for video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Write mini-speeches for campaign video; assist with image and campaign slogan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Develop platform related questions</w:t>
            </w:r>
            <w:r>
              <w:rPr>
                <w:sz w:val="20"/>
                <w:szCs w:val="20"/>
              </w:rPr>
              <w:t xml:space="preserve">; work with Cahill on polling requirements 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Three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Film campaign video; photo session for posters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Work with media and speech to oversee vi</w:t>
            </w:r>
            <w:r>
              <w:rPr>
                <w:sz w:val="20"/>
                <w:szCs w:val="20"/>
              </w:rPr>
              <w:t>deo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Style candidate for photo and video shoot; check over script for video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Begin filming video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Direct candidate on script for video</w:t>
            </w:r>
            <w:r>
              <w:rPr>
                <w:sz w:val="20"/>
                <w:szCs w:val="20"/>
              </w:rPr>
              <w:t>; work on open/closing statements for debate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Create polls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Day Four</w:t>
            </w:r>
            <w:r>
              <w:t xml:space="preserve">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Film campaign video</w:t>
            </w:r>
            <w:r>
              <w:rPr>
                <w:sz w:val="20"/>
                <w:szCs w:val="20"/>
              </w:rPr>
              <w:t>; study for debate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Check pollsters wo</w:t>
            </w:r>
            <w:r>
              <w:rPr>
                <w:sz w:val="20"/>
                <w:szCs w:val="20"/>
              </w:rPr>
              <w:t>rk and approve; approve speech writers statements for debate; direct candidate on debate prep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Oversee video shoot; work with media on video editing and f</w:t>
            </w:r>
            <w:r>
              <w:rPr>
                <w:b/>
                <w:sz w:val="20"/>
                <w:szCs w:val="20"/>
              </w:rPr>
              <w:t>inalize/approve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Finish filming and editing video; work on more campaign posters/ads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Work with candidate on debate prep; direct candidate on speaking; work on candidate answering practice debate questions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Finalize polls; help with film editing if needed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Five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campaign videos of other candidates; debate prep; work with pollsters </w:t>
            </w:r>
            <w:r>
              <w:rPr>
                <w:sz w:val="20"/>
                <w:szCs w:val="20"/>
              </w:rPr>
              <w:t xml:space="preserve">to adjust image </w:t>
            </w:r>
          </w:p>
          <w:p w:rsidR="00C26E1E" w:rsidRDefault="00C26E1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C26E1E" w:rsidRDefault="00C26E1E">
            <w:pPr>
              <w:widowControl w:val="0"/>
              <w:spacing w:line="240" w:lineRule="auto"/>
            </w:pP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Watch campaign videos</w:t>
            </w:r>
            <w:r>
              <w:rPr>
                <w:sz w:val="20"/>
                <w:szCs w:val="20"/>
              </w:rPr>
              <w:t xml:space="preserve"> of other candidates; work with pollsters to analyze data and adjust image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 xml:space="preserve">Watch campaign videos </w:t>
            </w:r>
            <w:r>
              <w:rPr>
                <w:sz w:val="20"/>
                <w:szCs w:val="20"/>
              </w:rPr>
              <w:t xml:space="preserve">of other candidates; debate prep; work with pollsters to analyze polls and adjust image 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Watch campaign videos</w:t>
            </w:r>
            <w:r>
              <w:rPr>
                <w:sz w:val="20"/>
                <w:szCs w:val="20"/>
              </w:rPr>
              <w:t xml:space="preserve"> of other c</w:t>
            </w:r>
            <w:r>
              <w:rPr>
                <w:sz w:val="20"/>
                <w:szCs w:val="20"/>
              </w:rPr>
              <w:t xml:space="preserve">andidates; debate prep 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Watch campaign videos of other candidates; debate prep 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Watch campaign videos of other candidates; </w:t>
            </w:r>
            <w:r>
              <w:rPr>
                <w:b/>
                <w:sz w:val="20"/>
                <w:szCs w:val="20"/>
              </w:rPr>
              <w:t>administer polls;</w:t>
            </w:r>
            <w:r>
              <w:rPr>
                <w:sz w:val="20"/>
                <w:szCs w:val="20"/>
              </w:rPr>
              <w:t xml:space="preserve"> collect data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C47AC3">
            <w:pPr>
              <w:widowControl w:val="0"/>
              <w:spacing w:line="240" w:lineRule="auto"/>
            </w:pP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Candidate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Manager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Strategist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Media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Speech Writer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>Pollsters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Six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Adjust image from polls; debate prep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Adjust image from polls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Adjust image from polls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Final campaign posters</w:t>
            </w:r>
            <w:r>
              <w:rPr>
                <w:sz w:val="20"/>
                <w:szCs w:val="20"/>
              </w:rPr>
              <w:t xml:space="preserve"> with updated images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Finalize all debate materials</w:t>
            </w:r>
            <w:r>
              <w:rPr>
                <w:sz w:val="20"/>
                <w:szCs w:val="20"/>
              </w:rPr>
              <w:t>; write victory and concession speech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Analyze polls and adjust image; work with media for new campa</w:t>
            </w:r>
            <w:r>
              <w:rPr>
                <w:sz w:val="20"/>
                <w:szCs w:val="20"/>
              </w:rPr>
              <w:t>ign posters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Seven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Mini-debate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Eight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Final meet and greet with voters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Final meet and greet with voters; </w:t>
            </w:r>
            <w:r>
              <w:rPr>
                <w:b/>
                <w:sz w:val="20"/>
                <w:szCs w:val="20"/>
              </w:rPr>
              <w:t>review final speeches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Final meet and greet with voters; </w:t>
            </w:r>
            <w:r>
              <w:rPr>
                <w:b/>
                <w:sz w:val="20"/>
                <w:szCs w:val="20"/>
              </w:rPr>
              <w:t>review final speeches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Final meet and greet with voters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Final meet and greet with voters; </w:t>
            </w:r>
            <w:r>
              <w:rPr>
                <w:b/>
                <w:sz w:val="20"/>
                <w:szCs w:val="20"/>
              </w:rPr>
              <w:t>victory and concession speech due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Final meet and greet with voters</w:t>
            </w:r>
          </w:p>
        </w:tc>
      </w:tr>
      <w:tr w:rsidR="00C47AC3">
        <w:tc>
          <w:tcPr>
            <w:tcW w:w="13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</w:rPr>
              <w:t xml:space="preserve">Day Nine </w:t>
            </w:r>
          </w:p>
        </w:tc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Vote, speech, celebrate</w:t>
            </w:r>
            <w:proofErr w:type="gramEnd"/>
            <w:r>
              <w:rPr>
                <w:sz w:val="20"/>
                <w:szCs w:val="20"/>
              </w:rPr>
              <w:t>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  <w:tc>
          <w:tcPr>
            <w:tcW w:w="18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Vote, speech, celebrate</w:t>
            </w:r>
            <w:proofErr w:type="gramEnd"/>
            <w:r>
              <w:rPr>
                <w:sz w:val="20"/>
                <w:szCs w:val="20"/>
              </w:rPr>
              <w:t>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Vote, speech, celebrate</w:t>
            </w:r>
            <w:proofErr w:type="gramEnd"/>
            <w:r>
              <w:rPr>
                <w:sz w:val="20"/>
                <w:szCs w:val="20"/>
              </w:rPr>
              <w:t>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Vote, celebrate!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Vote, celebrate!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Vote, celebrate!</w:t>
            </w: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Student interviews</w:t>
            </w:r>
          </w:p>
        </w:tc>
      </w:tr>
    </w:tbl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47AC3" w:rsidRDefault="00C47AC3"/>
    <w:p w:rsidR="00C26E1E" w:rsidRDefault="00C26E1E"/>
    <w:p w:rsidR="00C47AC3" w:rsidRDefault="00C47AC3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C47AC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Campaign Video Rubric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5 point score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4 point score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3 point score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2 point score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b/>
                <w:sz w:val="20"/>
                <w:szCs w:val="20"/>
              </w:rPr>
              <w:t>1 point score</w:t>
            </w:r>
          </w:p>
        </w:tc>
      </w:tr>
      <w:tr w:rsidR="00C47AC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Purpose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Has a clear focused position, maintained throughout the piece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Has a clear focused position, maintained throughout. </w:t>
            </w:r>
          </w:p>
          <w:p w:rsidR="00C47AC3" w:rsidRDefault="00C47AC3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Has a clear position statement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establishes context, may become off topic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Topic maybe unclear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May meander or contain digressions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No posit</w:t>
            </w:r>
            <w:r>
              <w:rPr>
                <w:sz w:val="20"/>
                <w:szCs w:val="20"/>
              </w:rPr>
              <w:t>ion statement or focus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No context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May be rambling, long or unfocused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</w:tr>
      <w:tr w:rsidR="00C47AC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May present in unusual or surprising patterns / format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Interesting ideas, expressed in an original way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Has</w:t>
            </w:r>
            <w:proofErr w:type="gramEnd"/>
            <w:r>
              <w:rPr>
                <w:sz w:val="20"/>
                <w:szCs w:val="20"/>
              </w:rPr>
              <w:t xml:space="preserve"> strong opening convincing arguments, reasons and/or evidence effectively and persuasively.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Uses effective transitions in a logical sequence. 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May lack a beginning or end.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proofErr w:type="gramStart"/>
            <w:r>
              <w:rPr>
                <w:sz w:val="20"/>
                <w:szCs w:val="20"/>
              </w:rPr>
              <w:t>arranges</w:t>
            </w:r>
            <w:proofErr w:type="gramEnd"/>
            <w:r>
              <w:rPr>
                <w:sz w:val="20"/>
                <w:szCs w:val="20"/>
              </w:rPr>
              <w:t xml:space="preserve"> ideas in simple way, listing without relating them to each other.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Weak transitions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Intro or conclusion is weak.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May possess simple straightforward organization.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Weak coherence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Shows little logical arrangement of ideas.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Too brief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No transitions.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C47AC3">
            <w:pPr>
              <w:widowControl w:val="0"/>
              <w:spacing w:line="240" w:lineRule="auto"/>
            </w:pPr>
          </w:p>
        </w:tc>
      </w:tr>
      <w:tr w:rsidR="00C47AC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Voice / Tone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Language is selected with careful attention to persuasive appeal.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Writer shows confidence, conviction and enthusiasm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Language must be persuasive as well as convey convictions and confidence.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Uses precise language effectively and purposefully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Uses appropriate language, but may lack precision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Usually conveys a sense of conviction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Language is predictable and general rather than precise.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Lacks conviction</w:t>
            </w:r>
          </w:p>
          <w:p w:rsidR="00C47AC3" w:rsidRDefault="00C47AC3">
            <w:pPr>
              <w:widowControl w:val="0"/>
              <w:spacing w:line="240" w:lineRule="auto"/>
            </w:pP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Language may be inappropriate or inexact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</w:tr>
      <w:tr w:rsidR="00C47AC3"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  <w:jc w:val="center"/>
            </w:pPr>
            <w:r>
              <w:rPr>
                <w:b/>
                <w:sz w:val="20"/>
                <w:szCs w:val="20"/>
              </w:rPr>
              <w:t>Presentation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Smooth delivery that holds audi</w:t>
            </w:r>
            <w:r>
              <w:rPr>
                <w:sz w:val="20"/>
                <w:szCs w:val="20"/>
              </w:rPr>
              <w:t>ence attention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Fairly smooth delivery that holds audience attention most of the time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Delivery not smooth, but able to maintain interest of the audience most of the time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Delivery not smooth and audience attention often lost</w:t>
            </w:r>
            <w:proofErr w:type="gramStart"/>
            <w:r>
              <w:rPr>
                <w:sz w:val="20"/>
                <w:szCs w:val="20"/>
              </w:rPr>
              <w:t xml:space="preserve">. </w:t>
            </w:r>
            <w:proofErr w:type="gramEnd"/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AC3" w:rsidRDefault="0052264B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Uses few or no supporting</w:t>
            </w:r>
            <w:r>
              <w:rPr>
                <w:sz w:val="20"/>
                <w:szCs w:val="20"/>
              </w:rPr>
              <w:t xml:space="preserve"> ideas. </w:t>
            </w:r>
          </w:p>
          <w:p w:rsidR="00C47AC3" w:rsidRDefault="00C47AC3">
            <w:pPr>
              <w:widowControl w:val="0"/>
              <w:spacing w:line="240" w:lineRule="auto"/>
            </w:pPr>
          </w:p>
          <w:p w:rsidR="00C47AC3" w:rsidRDefault="0052264B">
            <w:pPr>
              <w:widowControl w:val="0"/>
              <w:spacing w:line="240" w:lineRule="auto"/>
            </w:pPr>
            <w:r>
              <w:rPr>
                <w:sz w:val="18"/>
                <w:szCs w:val="18"/>
              </w:rPr>
              <w:t>Does not recognize the counter arguments or the concerns of the viewer</w:t>
            </w:r>
            <w:proofErr w:type="gramStart"/>
            <w:r>
              <w:rPr>
                <w:sz w:val="18"/>
                <w:szCs w:val="18"/>
              </w:rPr>
              <w:t xml:space="preserve">. </w:t>
            </w:r>
            <w:proofErr w:type="gramEnd"/>
          </w:p>
        </w:tc>
      </w:tr>
    </w:tbl>
    <w:p w:rsidR="00C26E1E" w:rsidRDefault="00C26E1E">
      <w:pPr>
        <w:rPr>
          <w:b/>
        </w:rPr>
      </w:pPr>
    </w:p>
    <w:p w:rsidR="00C47AC3" w:rsidRDefault="0052264B">
      <w:r>
        <w:rPr>
          <w:b/>
        </w:rPr>
        <w:lastRenderedPageBreak/>
        <w:t xml:space="preserve">Debate Format and Instructions </w:t>
      </w:r>
    </w:p>
    <w:p w:rsidR="00C47AC3" w:rsidRDefault="0052264B">
      <w:r>
        <w:t>On Friday your candidate will participate in a mini-debate</w:t>
      </w:r>
      <w:proofErr w:type="gramStart"/>
      <w:r>
        <w:t xml:space="preserve">. </w:t>
      </w:r>
      <w:proofErr w:type="gramEnd"/>
      <w:r>
        <w:t>This debate is modeled after the actual primary debates among candidates running for president</w:t>
      </w:r>
      <w:proofErr w:type="gramStart"/>
      <w:r>
        <w:t xml:space="preserve">. </w:t>
      </w:r>
      <w:proofErr w:type="gramEnd"/>
      <w:r>
        <w:t>Please watch the provided clips to see the role candidates and the moderators play in a presidential</w:t>
      </w:r>
      <w:r>
        <w:t xml:space="preserve"> debate</w:t>
      </w:r>
      <w:proofErr w:type="gramStart"/>
      <w:r>
        <w:t xml:space="preserve">. </w:t>
      </w:r>
      <w:proofErr w:type="gramEnd"/>
      <w:r>
        <w:t>Below is the format the debate will follow:</w:t>
      </w:r>
    </w:p>
    <w:p w:rsidR="00C47AC3" w:rsidRDefault="00C47AC3"/>
    <w:p w:rsidR="00C47AC3" w:rsidRDefault="0052264B">
      <w:r>
        <w:rPr>
          <w:b/>
        </w:rPr>
        <w:t xml:space="preserve">Opening Statements: </w:t>
      </w:r>
      <w:r>
        <w:t>1 minute</w:t>
      </w:r>
    </w:p>
    <w:p w:rsidR="00C47AC3" w:rsidRDefault="0052264B">
      <w:r>
        <w:t>The opening statement will introduce your candidate to the audience</w:t>
      </w:r>
      <w:proofErr w:type="gramStart"/>
      <w:r>
        <w:t xml:space="preserve">. </w:t>
      </w:r>
      <w:proofErr w:type="gramEnd"/>
      <w:r>
        <w:t>The candidate should highlight their stance on a few important issues, and tell the audience why they de</w:t>
      </w:r>
      <w:r>
        <w:t>serve their vote</w:t>
      </w:r>
      <w:proofErr w:type="gramStart"/>
      <w:r>
        <w:t xml:space="preserve">. </w:t>
      </w:r>
      <w:proofErr w:type="gramEnd"/>
      <w:r>
        <w:t xml:space="preserve">Opening statements should be rehearsed and passionate! </w:t>
      </w:r>
    </w:p>
    <w:p w:rsidR="00C47AC3" w:rsidRDefault="00C47AC3"/>
    <w:p w:rsidR="00C47AC3" w:rsidRDefault="0052264B">
      <w:r>
        <w:rPr>
          <w:b/>
        </w:rPr>
        <w:t xml:space="preserve">Questions: </w:t>
      </w:r>
      <w:r>
        <w:t>20 minutes</w:t>
      </w:r>
    </w:p>
    <w:p w:rsidR="00C47AC3" w:rsidRDefault="0052264B">
      <w:r>
        <w:t>Each candidate will be asked a minimum of 3 questions, and will have 1 minute to respond</w:t>
      </w:r>
      <w:proofErr w:type="gramStart"/>
      <w:r>
        <w:t xml:space="preserve">. </w:t>
      </w:r>
      <w:proofErr w:type="gramEnd"/>
      <w:r>
        <w:t>IF the candidate mentions another candidate during the debate, then w</w:t>
      </w:r>
      <w:r>
        <w:t xml:space="preserve">e will give that candidate a chance to offer a rebuttal. </w:t>
      </w:r>
    </w:p>
    <w:p w:rsidR="00C47AC3" w:rsidRDefault="00C47AC3"/>
    <w:p w:rsidR="00C47AC3" w:rsidRDefault="0052264B">
      <w:r>
        <w:rPr>
          <w:b/>
        </w:rPr>
        <w:t xml:space="preserve">Closing Statements: </w:t>
      </w:r>
      <w:r>
        <w:t>1 minute</w:t>
      </w:r>
    </w:p>
    <w:p w:rsidR="00C47AC3" w:rsidRDefault="0052264B">
      <w:r>
        <w:t>The closing statement is the final chance for the candidate to make a case for the voters</w:t>
      </w:r>
      <w:proofErr w:type="gramStart"/>
      <w:r>
        <w:t xml:space="preserve">. </w:t>
      </w:r>
      <w:proofErr w:type="gramEnd"/>
      <w:r>
        <w:t>The statement should recap the main arguments of your platform, should tell t</w:t>
      </w:r>
      <w:r>
        <w:t xml:space="preserve">he voters why you are the best choice to win, and should address any open arguments from the debate. </w:t>
      </w:r>
    </w:p>
    <w:p w:rsidR="00C47AC3" w:rsidRDefault="00C47AC3"/>
    <w:p w:rsidR="00C47AC3" w:rsidRDefault="0052264B">
      <w:r>
        <w:rPr>
          <w:b/>
        </w:rPr>
        <w:t xml:space="preserve">Possible Questions: We will be adding to this list today!!! </w:t>
      </w:r>
    </w:p>
    <w:p w:rsidR="00C47AC3" w:rsidRDefault="0052264B">
      <w:r>
        <w:rPr>
          <w:i/>
        </w:rPr>
        <w:t>The moderators will ask you questions from this list</w:t>
      </w:r>
      <w:proofErr w:type="gramStart"/>
      <w:r>
        <w:rPr>
          <w:i/>
        </w:rPr>
        <w:t xml:space="preserve">. </w:t>
      </w:r>
      <w:proofErr w:type="gramEnd"/>
      <w:r>
        <w:rPr>
          <w:i/>
        </w:rPr>
        <w:t>They may ask you follow-up questions t</w:t>
      </w:r>
      <w:r>
        <w:rPr>
          <w:i/>
        </w:rPr>
        <w:t xml:space="preserve">hat are not on this list, so be sure to know your platform well! </w:t>
      </w:r>
    </w:p>
    <w:p w:rsidR="00C47AC3" w:rsidRDefault="00C47AC3"/>
    <w:p w:rsidR="00C47AC3" w:rsidRDefault="0052264B">
      <w:r>
        <w:t>What makes your campaign different from the other candidates</w:t>
      </w:r>
      <w:proofErr w:type="gramStart"/>
      <w:r>
        <w:t xml:space="preserve">? </w:t>
      </w:r>
      <w:proofErr w:type="gramEnd"/>
      <w:r>
        <w:t>Why should we vote for you?</w:t>
      </w:r>
    </w:p>
    <w:p w:rsidR="00C47AC3" w:rsidRDefault="00C47AC3"/>
    <w:p w:rsidR="00C47AC3" w:rsidRDefault="0052264B">
      <w:r>
        <w:t xml:space="preserve">Is healthcare a human right? </w:t>
      </w:r>
    </w:p>
    <w:p w:rsidR="00C47AC3" w:rsidRDefault="0052264B">
      <w:pPr>
        <w:ind w:firstLine="720"/>
      </w:pPr>
      <w:r>
        <w:t>How will you provide affordable healthcare?</w:t>
      </w:r>
    </w:p>
    <w:p w:rsidR="00C47AC3" w:rsidRDefault="00C47AC3"/>
    <w:p w:rsidR="00C47AC3" w:rsidRDefault="0052264B">
      <w:r>
        <w:t xml:space="preserve">What is your stance on immigration? </w:t>
      </w:r>
    </w:p>
    <w:p w:rsidR="00C47AC3" w:rsidRDefault="0052264B">
      <w:pPr>
        <w:ind w:firstLine="720"/>
      </w:pPr>
      <w:r>
        <w:t xml:space="preserve">How will you provide a path to </w:t>
      </w:r>
      <w:proofErr w:type="gramStart"/>
      <w:r>
        <w:t>citizenship.</w:t>
      </w:r>
      <w:proofErr w:type="gramEnd"/>
      <w:r>
        <w:t xml:space="preserve"> </w:t>
      </w:r>
    </w:p>
    <w:p w:rsidR="00C47AC3" w:rsidRDefault="0052264B">
      <w:pPr>
        <w:ind w:firstLine="720"/>
      </w:pPr>
      <w:r>
        <w:t>Is your solution humane</w:t>
      </w:r>
      <w:proofErr w:type="gramStart"/>
      <w:r>
        <w:t xml:space="preserve">? </w:t>
      </w:r>
      <w:proofErr w:type="gramEnd"/>
      <w:r>
        <w:t xml:space="preserve">How will you not split up </w:t>
      </w:r>
      <w:proofErr w:type="gramStart"/>
      <w:r>
        <w:t>families.</w:t>
      </w:r>
      <w:proofErr w:type="gramEnd"/>
      <w:r>
        <w:t xml:space="preserve"> </w:t>
      </w:r>
    </w:p>
    <w:p w:rsidR="00C47AC3" w:rsidRDefault="00C47AC3"/>
    <w:p w:rsidR="00C26E1E" w:rsidRDefault="00C26E1E"/>
    <w:p w:rsidR="00C47AC3" w:rsidRDefault="0052264B">
      <w:r>
        <w:lastRenderedPageBreak/>
        <w:t xml:space="preserve">Are you concerned about the environment? </w:t>
      </w:r>
    </w:p>
    <w:p w:rsidR="00C47AC3" w:rsidRDefault="0052264B">
      <w:pPr>
        <w:ind w:firstLine="720"/>
      </w:pPr>
      <w:r>
        <w:t>What will you do to slow global warming?</w:t>
      </w:r>
    </w:p>
    <w:p w:rsidR="00C47AC3" w:rsidRDefault="00C47AC3"/>
    <w:p w:rsidR="00C47AC3" w:rsidRDefault="0052264B">
      <w:r>
        <w:t xml:space="preserve">Do you think college needs to be more affordable? </w:t>
      </w:r>
    </w:p>
    <w:p w:rsidR="00C47AC3" w:rsidRDefault="0052264B">
      <w:pPr>
        <w:ind w:firstLine="720"/>
      </w:pPr>
      <w:r>
        <w:t>If so, how do you plan to do this?</w:t>
      </w:r>
    </w:p>
    <w:p w:rsidR="00C47AC3" w:rsidRDefault="00C47AC3"/>
    <w:p w:rsidR="00C47AC3" w:rsidRDefault="0052264B">
      <w:r>
        <w:t xml:space="preserve">Describe your stance on gun control and gun violence. </w:t>
      </w:r>
    </w:p>
    <w:p w:rsidR="00C47AC3" w:rsidRDefault="0052264B">
      <w:pPr>
        <w:ind w:firstLine="720"/>
      </w:pPr>
      <w:r>
        <w:t>What is your plan to address the rise in school and mass shootings?</w:t>
      </w:r>
    </w:p>
    <w:p w:rsidR="00C47AC3" w:rsidRDefault="00C47AC3"/>
    <w:p w:rsidR="00C47AC3" w:rsidRDefault="00C47AC3"/>
    <w:p w:rsidR="00C47AC3" w:rsidRDefault="0052264B">
      <w:r>
        <w:t>During your first 100 days in office, what m</w:t>
      </w:r>
      <w:r>
        <w:t>ajor changes do you want to make to your school and your community?</w:t>
      </w:r>
    </w:p>
    <w:p w:rsidR="00C47AC3" w:rsidRDefault="00C47AC3"/>
    <w:p w:rsidR="00C47AC3" w:rsidRDefault="0052264B">
      <w:r>
        <w:t>Do you think that America’s public schools are moving in the right direction</w:t>
      </w:r>
      <w:proofErr w:type="gramStart"/>
      <w:r>
        <w:t xml:space="preserve">? </w:t>
      </w:r>
      <w:proofErr w:type="gramEnd"/>
      <w:r>
        <w:t>If not, what plan do you have to get them back on track?</w:t>
      </w:r>
    </w:p>
    <w:p w:rsidR="00C47AC3" w:rsidRDefault="00C47AC3"/>
    <w:p w:rsidR="00C47AC3" w:rsidRDefault="0052264B">
      <w:r>
        <w:t xml:space="preserve">There are over 1.5 million men and women currently </w:t>
      </w:r>
      <w:r>
        <w:t>being held in state and federal prisons</w:t>
      </w:r>
      <w:proofErr w:type="gramStart"/>
      <w:r>
        <w:t xml:space="preserve">. </w:t>
      </w:r>
      <w:proofErr w:type="gramEnd"/>
      <w:r>
        <w:t>Do you think the United States is incarcerating too many people?</w:t>
      </w:r>
    </w:p>
    <w:p w:rsidR="00C47AC3" w:rsidRDefault="0052264B">
      <w:r>
        <w:tab/>
        <w:t>Do you think our prison system provides an opportunity for people to rehabilitate?</w:t>
      </w:r>
    </w:p>
    <w:p w:rsidR="00C47AC3" w:rsidRDefault="0052264B">
      <w:pPr>
        <w:ind w:left="720"/>
      </w:pPr>
      <w:r>
        <w:t>If not, what will you do to provide inmates with a greater opportu</w:t>
      </w:r>
      <w:r>
        <w:t xml:space="preserve">nity to rehabilitate </w:t>
      </w:r>
      <w:proofErr w:type="gramStart"/>
      <w:r>
        <w:t>themselves</w:t>
      </w:r>
      <w:proofErr w:type="gramEnd"/>
      <w:r>
        <w:t>?</w:t>
      </w:r>
    </w:p>
    <w:p w:rsidR="00C47AC3" w:rsidRDefault="00C47AC3"/>
    <w:p w:rsidR="00C47AC3" w:rsidRDefault="0052264B">
      <w:r>
        <w:t>What problem in Ohio OR America would you like to see solved during your tenure as Governor?</w:t>
      </w:r>
    </w:p>
    <w:p w:rsidR="00C47AC3" w:rsidRDefault="00C47AC3"/>
    <w:p w:rsidR="00C47AC3" w:rsidRDefault="0052264B">
      <w:r>
        <w:t xml:space="preserve">What makes you most proud to be an American? </w:t>
      </w:r>
    </w:p>
    <w:p w:rsidR="00C47AC3" w:rsidRDefault="00C47AC3"/>
    <w:p w:rsidR="00C47AC3" w:rsidRDefault="00C47AC3"/>
    <w:p w:rsidR="00C47AC3" w:rsidRDefault="00C47AC3"/>
    <w:p w:rsidR="00C47AC3" w:rsidRDefault="00C47AC3"/>
    <w:p w:rsidR="00C47AC3" w:rsidRDefault="00C47AC3">
      <w:pPr>
        <w:ind w:firstLine="720"/>
      </w:pPr>
    </w:p>
    <w:p w:rsidR="00C47AC3" w:rsidRDefault="00C47AC3"/>
    <w:bookmarkEnd w:id="0"/>
    <w:p w:rsidR="00C47AC3" w:rsidRDefault="00C47AC3"/>
    <w:sectPr w:rsidR="00C47AC3" w:rsidSect="0052264B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635C9"/>
    <w:multiLevelType w:val="multilevel"/>
    <w:tmpl w:val="626C1ED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AC3"/>
    <w:rsid w:val="0052264B"/>
    <w:rsid w:val="00865648"/>
    <w:rsid w:val="00C26E1E"/>
    <w:rsid w:val="00C4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A6CA2930</Template>
  <TotalTime>3</TotalTime>
  <Pages>7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Center for Law-Related Education</Company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Suskey</cp:lastModifiedBy>
  <cp:revision>4</cp:revision>
  <cp:lastPrinted>2015-11-16T14:16:00Z</cp:lastPrinted>
  <dcterms:created xsi:type="dcterms:W3CDTF">2015-11-16T14:13:00Z</dcterms:created>
  <dcterms:modified xsi:type="dcterms:W3CDTF">2015-11-16T14:16:00Z</dcterms:modified>
</cp:coreProperties>
</file>